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D58" w:rsidRPr="00347DC3" w:rsidRDefault="00161D58" w:rsidP="00161D58">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bookmarkStart w:id="6" w:name="_Toc16779902"/>
      <w:bookmarkStart w:id="7" w:name="_Toc16780304"/>
      <w:r w:rsidRPr="00347DC3">
        <w:rPr>
          <w:lang w:val="en-US"/>
        </w:rPr>
        <w:t>Public Notice</w:t>
      </w:r>
      <w:bookmarkEnd w:id="0"/>
      <w:bookmarkEnd w:id="1"/>
      <w:bookmarkEnd w:id="2"/>
      <w:bookmarkEnd w:id="3"/>
      <w:bookmarkEnd w:id="4"/>
      <w:bookmarkEnd w:id="5"/>
      <w:bookmarkEnd w:id="6"/>
      <w:bookmarkEnd w:id="7"/>
    </w:p>
    <w:p w:rsidR="00161D58" w:rsidRPr="00347DC3" w:rsidRDefault="00EA4851" w:rsidP="00161D58">
      <w:pPr>
        <w:pStyle w:val="Heading1"/>
        <w:rPr>
          <w:lang w:val="en-US"/>
        </w:rPr>
      </w:pPr>
      <w:bookmarkStart w:id="8" w:name="_Toc13819790"/>
      <w:bookmarkStart w:id="9" w:name="_Toc13823192"/>
      <w:bookmarkStart w:id="10" w:name="_Toc14963753"/>
      <w:bookmarkStart w:id="11" w:name="_Toc14966151"/>
      <w:bookmarkStart w:id="12" w:name="_Toc14966200"/>
      <w:bookmarkStart w:id="13" w:name="_Toc15075290"/>
      <w:bookmarkStart w:id="14" w:name="_Toc16779903"/>
      <w:bookmarkStart w:id="15" w:name="_Toc16780305"/>
      <w:r>
        <w:rPr>
          <w:lang w:val="en-US"/>
        </w:rPr>
        <w:t>Finance and Annex Building Demolition</w:t>
      </w:r>
      <w:r w:rsidR="00161D58" w:rsidRPr="00347DC3">
        <w:rPr>
          <w:lang w:val="en-US"/>
        </w:rPr>
        <w:t xml:space="preserve"> – Public Comments Invited</w:t>
      </w:r>
      <w:bookmarkEnd w:id="8"/>
      <w:bookmarkEnd w:id="9"/>
      <w:bookmarkEnd w:id="10"/>
      <w:bookmarkEnd w:id="11"/>
      <w:bookmarkEnd w:id="12"/>
      <w:bookmarkEnd w:id="13"/>
      <w:bookmarkEnd w:id="14"/>
      <w:bookmarkEnd w:id="15"/>
    </w:p>
    <w:p w:rsidR="00161D58" w:rsidRPr="00347DC3" w:rsidRDefault="00EA4851" w:rsidP="00161D58">
      <w:pPr>
        <w:rPr>
          <w:lang w:val="en-US"/>
        </w:rPr>
      </w:pPr>
      <w:r>
        <w:rPr>
          <w:b/>
          <w:lang w:val="en-US"/>
        </w:rPr>
        <w:t>27-May-2021</w:t>
      </w:r>
      <w:r w:rsidR="00161D58" w:rsidRPr="00347DC3">
        <w:rPr>
          <w:b/>
          <w:lang w:val="en-US"/>
        </w:rPr>
        <w:t xml:space="preserve"> – </w:t>
      </w:r>
      <w:r w:rsidR="007429ED">
        <w:rPr>
          <w:lang w:val="en-US"/>
        </w:rPr>
        <w:t xml:space="preserve">Public Services and Procurement Canada </w:t>
      </w:r>
      <w:r w:rsidR="00161D58" w:rsidRPr="00347DC3">
        <w:rPr>
          <w:lang w:val="en-US"/>
        </w:rPr>
        <w:t>must de</w:t>
      </w:r>
      <w:r w:rsidR="00161D58">
        <w:rPr>
          <w:lang w:val="en-US"/>
        </w:rPr>
        <w:t>termine</w:t>
      </w:r>
      <w:r w:rsidR="00161D58" w:rsidRPr="00347DC3">
        <w:rPr>
          <w:lang w:val="en-US"/>
        </w:rPr>
        <w:t xml:space="preserve"> whether the proposed </w:t>
      </w:r>
      <w:r>
        <w:rPr>
          <w:lang w:val="en-US"/>
        </w:rPr>
        <w:t xml:space="preserve">Finance and Annex Building Demolition, located in Ottawa, ON </w:t>
      </w:r>
      <w:r w:rsidR="00161D58" w:rsidRPr="00347DC3">
        <w:rPr>
          <w:lang w:val="en-US"/>
        </w:rPr>
        <w:t>is likely to cause significant adverse environmental effects.</w:t>
      </w:r>
    </w:p>
    <w:p w:rsidR="00161D58" w:rsidRPr="00347DC3" w:rsidRDefault="00161D58" w:rsidP="00161D58">
      <w:pPr>
        <w:rPr>
          <w:lang w:val="en-US"/>
        </w:rPr>
      </w:pPr>
      <w:r w:rsidRPr="00347DC3">
        <w:rPr>
          <w:lang w:val="en-US"/>
        </w:rPr>
        <w:t>To help inform this de</w:t>
      </w:r>
      <w:r>
        <w:rPr>
          <w:lang w:val="en-US"/>
        </w:rPr>
        <w:t>termination</w:t>
      </w:r>
      <w:r w:rsidRPr="00347DC3">
        <w:rPr>
          <w:lang w:val="en-US"/>
        </w:rPr>
        <w:t xml:space="preserve">, </w:t>
      </w:r>
      <w:r w:rsidR="007429ED">
        <w:rPr>
          <w:lang w:val="en-US"/>
        </w:rPr>
        <w:t>PSPC</w:t>
      </w:r>
      <w:r w:rsidRPr="00347DC3">
        <w:rPr>
          <w:lang w:val="en-US"/>
        </w:rPr>
        <w:t xml:space="preserve"> is </w:t>
      </w:r>
      <w:r>
        <w:rPr>
          <w:lang w:val="en-US"/>
        </w:rPr>
        <w:t>inviting</w:t>
      </w:r>
      <w:r w:rsidRPr="00347DC3">
        <w:rPr>
          <w:lang w:val="en-US"/>
        </w:rPr>
        <w:t xml:space="preserve"> comments from the public </w:t>
      </w:r>
      <w:r w:rsidRPr="000B3D63">
        <w:t>respecting that determination</w:t>
      </w:r>
      <w:r w:rsidR="007429ED">
        <w:rPr>
          <w:rFonts w:ascii="Georgia" w:hAnsi="Georgia" w:cs="Georgia"/>
        </w:rPr>
        <w:t>.</w:t>
      </w:r>
      <w:r w:rsidRPr="00347DC3">
        <w:rPr>
          <w:lang w:val="en-US"/>
        </w:rPr>
        <w:t xml:space="preserve"> All comments received will be considered public</w:t>
      </w:r>
      <w:r w:rsidR="007429ED">
        <w:rPr>
          <w:lang w:val="en-US"/>
        </w:rPr>
        <w:t xml:space="preserve"> and may be posted online</w:t>
      </w:r>
      <w:r w:rsidRPr="00347DC3">
        <w:rPr>
          <w:lang w:val="en-US"/>
        </w:rPr>
        <w:t xml:space="preserve">. </w:t>
      </w:r>
      <w:r>
        <w:rPr>
          <w:lang w:val="en-US"/>
        </w:rPr>
        <w:t xml:space="preserve">For more information, individuals should consult the </w:t>
      </w:r>
      <w:hyperlink r:id="rId5" w:history="1">
        <w:r w:rsidRPr="007429ED">
          <w:rPr>
            <w:rStyle w:val="Hyperlink"/>
            <w:lang w:val="en-US"/>
          </w:rPr>
          <w:t>Privacy Notice on the Registry website</w:t>
        </w:r>
      </w:hyperlink>
      <w:r>
        <w:rPr>
          <w:lang w:val="en-US"/>
        </w:rPr>
        <w:t>.</w:t>
      </w:r>
    </w:p>
    <w:p w:rsidR="00161D58" w:rsidRPr="00347DC3" w:rsidRDefault="00161D58" w:rsidP="00161D58">
      <w:pPr>
        <w:rPr>
          <w:lang w:val="en-US"/>
        </w:rPr>
      </w:pPr>
      <w:r w:rsidRPr="00347DC3">
        <w:rPr>
          <w:lang w:val="en-US"/>
        </w:rPr>
        <w:t xml:space="preserve">Written comments must be submitted </w:t>
      </w:r>
      <w:r w:rsidRPr="00347DC3">
        <w:rPr>
          <w:b/>
          <w:lang w:val="en-US"/>
        </w:rPr>
        <w:t xml:space="preserve">by </w:t>
      </w:r>
      <w:r w:rsidR="00EA4851">
        <w:rPr>
          <w:b/>
          <w:lang w:val="en-US"/>
        </w:rPr>
        <w:t>June 26, 2021</w:t>
      </w:r>
      <w:r w:rsidRPr="00347DC3">
        <w:rPr>
          <w:b/>
          <w:lang w:val="en-US"/>
        </w:rPr>
        <w:t xml:space="preserve"> </w:t>
      </w:r>
      <w:r w:rsidRPr="00347DC3">
        <w:rPr>
          <w:lang w:val="en-US"/>
        </w:rPr>
        <w:t>to:</w:t>
      </w:r>
    </w:p>
    <w:p w:rsidR="00161D58" w:rsidRPr="00347DC3" w:rsidRDefault="007429ED" w:rsidP="00161D58">
      <w:pPr>
        <w:rPr>
          <w:lang w:val="en-US"/>
        </w:rPr>
      </w:pPr>
      <w:r>
        <w:rPr>
          <w:lang w:val="en-US"/>
        </w:rPr>
        <w:t>Environment, Health and Safety</w:t>
      </w:r>
      <w:r w:rsidR="00161D58">
        <w:rPr>
          <w:lang w:val="en-US"/>
        </w:rPr>
        <w:br/>
      </w:r>
      <w:r>
        <w:rPr>
          <w:lang w:val="en-US"/>
        </w:rPr>
        <w:t>2720 Riverside Drive, Ottawa, Ontario</w:t>
      </w:r>
      <w:r w:rsidR="00161D58">
        <w:rPr>
          <w:lang w:val="en-US"/>
        </w:rPr>
        <w:br/>
      </w:r>
      <w:hyperlink r:id="rId6" w:history="1">
        <w:r w:rsidRPr="002B5F77">
          <w:rPr>
            <w:rStyle w:val="Hyperlink"/>
            <w:lang w:val="en-US"/>
          </w:rPr>
          <w:t>TPSGC.RCNLVEEListedeControle-NCRECMPChecklist.PWGSC@tpsgc-pwgsc.gc.ca</w:t>
        </w:r>
      </w:hyperlink>
      <w:r>
        <w:rPr>
          <w:lang w:val="en-US"/>
        </w:rPr>
        <w:t xml:space="preserve"> </w:t>
      </w:r>
    </w:p>
    <w:p w:rsidR="00161D58" w:rsidRPr="00347DC3" w:rsidRDefault="00161D58" w:rsidP="00161D58">
      <w:pPr>
        <w:pStyle w:val="Heading2"/>
        <w:numPr>
          <w:ilvl w:val="0"/>
          <w:numId w:val="0"/>
        </w:numPr>
        <w:rPr>
          <w:lang w:val="en-US"/>
        </w:rPr>
      </w:pPr>
      <w:bookmarkStart w:id="16" w:name="_Toc13819791"/>
      <w:bookmarkStart w:id="17" w:name="_Toc13823193"/>
      <w:bookmarkStart w:id="18" w:name="_Toc14963754"/>
      <w:bookmarkStart w:id="19" w:name="_Toc14966152"/>
      <w:bookmarkStart w:id="20" w:name="_Toc14966202"/>
      <w:bookmarkStart w:id="21" w:name="_Toc15075291"/>
      <w:bookmarkStart w:id="22" w:name="_Toc16779904"/>
      <w:bookmarkStart w:id="23" w:name="_Toc16780306"/>
      <w:r w:rsidRPr="00347DC3">
        <w:rPr>
          <w:lang w:val="en-US"/>
        </w:rPr>
        <w:t>The Proposed Project</w:t>
      </w:r>
      <w:bookmarkEnd w:id="16"/>
      <w:bookmarkEnd w:id="17"/>
      <w:bookmarkEnd w:id="18"/>
      <w:bookmarkEnd w:id="19"/>
      <w:bookmarkEnd w:id="20"/>
      <w:bookmarkEnd w:id="21"/>
      <w:bookmarkEnd w:id="22"/>
      <w:bookmarkEnd w:id="23"/>
    </w:p>
    <w:p w:rsidR="00EA4851" w:rsidRPr="00EA4851" w:rsidRDefault="00EA4851" w:rsidP="00EA4851">
      <w:pPr>
        <w:rPr>
          <w:lang w:val="en-US"/>
        </w:rPr>
      </w:pPr>
      <w:r w:rsidRPr="00EA4851">
        <w:rPr>
          <w:lang w:val="en-US"/>
        </w:rPr>
        <w:t>In line with the approved Tunney's Pasture Master Plan, the Finance Building (Building No. 2, 101 Tunney's Pasture Driveway, Ottawa, ON) and the Finance Annex Building (Building No. 14, 100 Yarrow Driveway, Ottawa, ON) will be demolished. These buildings are structurally interconnected and located in the southern area of the Tunney's Pasture campus. Once the building demolitions are completed, the site will be restored to a flat and open green space while the redevelopment team identifies future use. The scope of the demolition project includes the following:</w:t>
      </w:r>
    </w:p>
    <w:p w:rsidR="00EA4851" w:rsidRPr="00EA4851" w:rsidRDefault="00EA4851" w:rsidP="00EA4851">
      <w:pPr>
        <w:rPr>
          <w:lang w:val="en-US"/>
        </w:rPr>
      </w:pPr>
      <w:bookmarkStart w:id="24" w:name="_GoBack"/>
      <w:bookmarkEnd w:id="24"/>
      <w:r w:rsidRPr="00EA4851">
        <w:rPr>
          <w:lang w:val="en-US"/>
        </w:rPr>
        <w:t>Removal of entire building structures, including, but not limited to, foundation walls, footings, walls, floors, finishes, mechanical and electrical services, and steam lines.</w:t>
      </w:r>
    </w:p>
    <w:p w:rsidR="00EA4851" w:rsidRPr="00EA4851" w:rsidRDefault="00EA4851" w:rsidP="00EA4851">
      <w:pPr>
        <w:rPr>
          <w:lang w:val="en-US"/>
        </w:rPr>
      </w:pPr>
      <w:r w:rsidRPr="00EA4851">
        <w:rPr>
          <w:lang w:val="en-US"/>
        </w:rPr>
        <w:t>Removal of existing parking lot, and its granular sub-base, located on site adjacent to both buildings.</w:t>
      </w:r>
    </w:p>
    <w:p w:rsidR="00EA4851" w:rsidRPr="00EA4851" w:rsidRDefault="00EA4851" w:rsidP="00EA4851">
      <w:pPr>
        <w:rPr>
          <w:lang w:val="en-US"/>
        </w:rPr>
      </w:pPr>
      <w:r w:rsidRPr="00EA4851">
        <w:rPr>
          <w:lang w:val="en-US"/>
        </w:rPr>
        <w:t>Removal of existing sidewalks located on site up to where they intersect with existing perimeter sidewalks.</w:t>
      </w:r>
    </w:p>
    <w:p w:rsidR="00EA4851" w:rsidRPr="00EA4851" w:rsidRDefault="00EA4851" w:rsidP="00EA4851">
      <w:pPr>
        <w:rPr>
          <w:lang w:val="en-US"/>
        </w:rPr>
      </w:pPr>
      <w:r w:rsidRPr="00EA4851">
        <w:rPr>
          <w:lang w:val="en-US"/>
        </w:rPr>
        <w:t>Removal of existing utility tunnels on site up to property line.</w:t>
      </w:r>
    </w:p>
    <w:p w:rsidR="00EA4851" w:rsidRPr="00EA4851" w:rsidRDefault="00EA4851" w:rsidP="00EA4851">
      <w:pPr>
        <w:rPr>
          <w:lang w:val="en-US"/>
        </w:rPr>
      </w:pPr>
      <w:r w:rsidRPr="00EA4851">
        <w:rPr>
          <w:lang w:val="en-US"/>
        </w:rPr>
        <w:t>Protection of existing trees on site.</w:t>
      </w:r>
    </w:p>
    <w:p w:rsidR="0003011E" w:rsidRPr="00EA4851" w:rsidRDefault="00EA4851" w:rsidP="00EA4851">
      <w:r w:rsidRPr="00EA4851">
        <w:rPr>
          <w:lang w:val="en-US"/>
        </w:rPr>
        <w:t xml:space="preserve">Installation of </w:t>
      </w:r>
      <w:proofErr w:type="spellStart"/>
      <w:r w:rsidRPr="00EA4851">
        <w:rPr>
          <w:lang w:val="en-US"/>
        </w:rPr>
        <w:t>hydroseeding</w:t>
      </w:r>
      <w:proofErr w:type="spellEnd"/>
      <w:r w:rsidRPr="00EA4851">
        <w:rPr>
          <w:lang w:val="en-US"/>
        </w:rPr>
        <w:t xml:space="preserve"> on site, including reinstatement of any damaged grass areas upon demolition work completion.</w:t>
      </w:r>
    </w:p>
    <w:sectPr w:rsidR="0003011E" w:rsidRPr="00EA48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4140F"/>
    <w:multiLevelType w:val="multilevel"/>
    <w:tmpl w:val="89029044"/>
    <w:lvl w:ilvl="0">
      <w:start w:val="1"/>
      <w:numFmt w:val="decimal"/>
      <w:pStyle w:val="Heading2"/>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58"/>
    <w:rsid w:val="00161D58"/>
    <w:rsid w:val="00371E43"/>
    <w:rsid w:val="00553937"/>
    <w:rsid w:val="005D7503"/>
    <w:rsid w:val="007429ED"/>
    <w:rsid w:val="00A01955"/>
    <w:rsid w:val="00B44EEA"/>
    <w:rsid w:val="00EA48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CEEB8-87B3-46A1-B284-1C804C93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1D58"/>
    <w:pPr>
      <w:spacing w:after="200" w:line="276" w:lineRule="auto"/>
    </w:pPr>
    <w:rPr>
      <w:rFonts w:ascii="Arial" w:hAnsi="Arial" w:cs="Arial"/>
    </w:rPr>
  </w:style>
  <w:style w:type="paragraph" w:styleId="Heading1">
    <w:name w:val="heading 1"/>
    <w:basedOn w:val="Normal"/>
    <w:next w:val="Normal"/>
    <w:link w:val="Heading1Char"/>
    <w:autoRedefine/>
    <w:uiPriority w:val="9"/>
    <w:rsid w:val="00161D58"/>
    <w:pPr>
      <w:keepNext/>
      <w:keepLines/>
      <w:spacing w:after="0"/>
      <w:outlineLvl w:val="0"/>
    </w:pPr>
    <w:rPr>
      <w:rFonts w:eastAsiaTheme="majorEastAsia"/>
      <w:b/>
      <w:bCs/>
      <w:color w:val="196D9B"/>
      <w:sz w:val="32"/>
      <w:szCs w:val="28"/>
    </w:rPr>
  </w:style>
  <w:style w:type="paragraph" w:styleId="Heading2">
    <w:name w:val="heading 2"/>
    <w:basedOn w:val="Normal"/>
    <w:next w:val="Normal"/>
    <w:link w:val="Heading2Char"/>
    <w:autoRedefine/>
    <w:uiPriority w:val="9"/>
    <w:unhideWhenUsed/>
    <w:rsid w:val="00161D58"/>
    <w:pPr>
      <w:keepNext/>
      <w:keepLines/>
      <w:numPr>
        <w:numId w:val="1"/>
      </w:numPr>
      <w:spacing w:before="200" w:after="0"/>
      <w:outlineLvl w:val="1"/>
    </w:pPr>
    <w:rPr>
      <w:rFonts w:eastAsiaTheme="majorEastAsia"/>
      <w:b/>
      <w:bCs/>
      <w:color w:val="2089C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D58"/>
    <w:rPr>
      <w:rFonts w:ascii="Arial" w:eastAsiaTheme="majorEastAsia" w:hAnsi="Arial" w:cs="Arial"/>
      <w:b/>
      <w:bCs/>
      <w:color w:val="196D9B"/>
      <w:sz w:val="32"/>
      <w:szCs w:val="28"/>
    </w:rPr>
  </w:style>
  <w:style w:type="character" w:customStyle="1" w:styleId="Heading2Char">
    <w:name w:val="Heading 2 Char"/>
    <w:basedOn w:val="DefaultParagraphFont"/>
    <w:link w:val="Heading2"/>
    <w:uiPriority w:val="9"/>
    <w:rsid w:val="00161D58"/>
    <w:rPr>
      <w:rFonts w:ascii="Arial" w:eastAsiaTheme="majorEastAsia" w:hAnsi="Arial" w:cs="Arial"/>
      <w:b/>
      <w:bCs/>
      <w:color w:val="2089C5"/>
      <w:sz w:val="28"/>
      <w:szCs w:val="26"/>
    </w:rPr>
  </w:style>
  <w:style w:type="character" w:styleId="Hyperlink">
    <w:name w:val="Hyperlink"/>
    <w:basedOn w:val="DefaultParagraphFont"/>
    <w:uiPriority w:val="99"/>
    <w:unhideWhenUsed/>
    <w:rsid w:val="007429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17401">
      <w:bodyDiv w:val="1"/>
      <w:marLeft w:val="0"/>
      <w:marRight w:val="0"/>
      <w:marTop w:val="0"/>
      <w:marBottom w:val="0"/>
      <w:divBdr>
        <w:top w:val="none" w:sz="0" w:space="0" w:color="auto"/>
        <w:left w:val="none" w:sz="0" w:space="0" w:color="auto"/>
        <w:bottom w:val="none" w:sz="0" w:space="0" w:color="auto"/>
        <w:right w:val="none" w:sz="0" w:space="0" w:color="auto"/>
      </w:divBdr>
    </w:div>
    <w:div w:id="689912300">
      <w:bodyDiv w:val="1"/>
      <w:marLeft w:val="0"/>
      <w:marRight w:val="0"/>
      <w:marTop w:val="0"/>
      <w:marBottom w:val="0"/>
      <w:divBdr>
        <w:top w:val="none" w:sz="0" w:space="0" w:color="auto"/>
        <w:left w:val="none" w:sz="0" w:space="0" w:color="auto"/>
        <w:bottom w:val="none" w:sz="0" w:space="0" w:color="auto"/>
        <w:right w:val="none" w:sz="0" w:space="0" w:color="auto"/>
      </w:divBdr>
      <w:divsChild>
        <w:div w:id="1556283783">
          <w:marLeft w:val="0"/>
          <w:marRight w:val="0"/>
          <w:marTop w:val="0"/>
          <w:marBottom w:val="0"/>
          <w:divBdr>
            <w:top w:val="none" w:sz="0" w:space="0" w:color="auto"/>
            <w:left w:val="none" w:sz="0" w:space="0" w:color="auto"/>
            <w:bottom w:val="none" w:sz="0" w:space="0" w:color="auto"/>
            <w:right w:val="none" w:sz="0" w:space="0" w:color="auto"/>
          </w:divBdr>
        </w:div>
      </w:divsChild>
    </w:div>
    <w:div w:id="1272401103">
      <w:bodyDiv w:val="1"/>
      <w:marLeft w:val="0"/>
      <w:marRight w:val="0"/>
      <w:marTop w:val="0"/>
      <w:marBottom w:val="0"/>
      <w:divBdr>
        <w:top w:val="none" w:sz="0" w:space="0" w:color="auto"/>
        <w:left w:val="none" w:sz="0" w:space="0" w:color="auto"/>
        <w:bottom w:val="none" w:sz="0" w:space="0" w:color="auto"/>
        <w:right w:val="none" w:sz="0" w:space="0" w:color="auto"/>
      </w:divBdr>
    </w:div>
    <w:div w:id="149822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PSGC.RCNLVEEListedeControle-NCRECMPChecklist.PWGSC@tpsgc-pwgsc.gc.ca" TargetMode="External"/><Relationship Id="rId5" Type="http://schemas.openxmlformats.org/officeDocument/2006/relationships/hyperlink" Target="https://iaac-aeic.gc.ca/050/evaluations/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Fairbrother</dc:creator>
  <cp:keywords/>
  <dc:description/>
  <cp:lastModifiedBy>Michelle Fairbrother</cp:lastModifiedBy>
  <cp:revision>2</cp:revision>
  <dcterms:created xsi:type="dcterms:W3CDTF">2021-05-27T20:52:00Z</dcterms:created>
  <dcterms:modified xsi:type="dcterms:W3CDTF">2021-05-27T20:52:00Z</dcterms:modified>
</cp:coreProperties>
</file>