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A75B6" w14:textId="77777777"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DA297E3" w14:textId="023FEAC2" w:rsidR="00161D58" w:rsidRPr="00347DC3" w:rsidRDefault="00112169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112169">
        <w:rPr>
          <w:lang w:val="en-US"/>
        </w:rPr>
        <w:t>Correct Deficiencies on Fuel Storage Tanks and Gensets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A9D853" w14:textId="01ABC548" w:rsidR="00161D58" w:rsidRPr="00347DC3" w:rsidRDefault="00112169" w:rsidP="00161D58">
      <w:pPr>
        <w:rPr>
          <w:lang w:val="en-US"/>
        </w:rPr>
      </w:pPr>
      <w:r>
        <w:rPr>
          <w:b/>
          <w:lang w:val="en-US"/>
        </w:rPr>
        <w:t>24-Aug-21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 </w:t>
      </w:r>
      <w:r w:rsidRPr="00112169">
        <w:rPr>
          <w:lang w:val="en-US"/>
        </w:rPr>
        <w:t>Correct Deficiencies on Fuel Storage Tanks and Gensets</w:t>
      </w:r>
      <w:r w:rsidR="00161D58" w:rsidRPr="00347DC3">
        <w:rPr>
          <w:lang w:val="en-US"/>
        </w:rPr>
        <w:t xml:space="preserve">, located in </w:t>
      </w:r>
      <w:r>
        <w:rPr>
          <w:lang w:val="en-US"/>
        </w:rPr>
        <w:t>Ottawa, ON</w:t>
      </w:r>
      <w:r w:rsidR="00161D58" w:rsidRPr="00347DC3">
        <w:rPr>
          <w:lang w:val="en-US"/>
        </w:rPr>
        <w:t xml:space="preserve"> is likely to cause significant adverse environmental effects.</w:t>
      </w:r>
    </w:p>
    <w:p w14:paraId="2BDCC178" w14:textId="77777777"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14:paraId="4EF6DFDA" w14:textId="35AB8DA0"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112169">
        <w:rPr>
          <w:b/>
          <w:lang w:val="en-US"/>
        </w:rPr>
        <w:t>September 23, 2021</w:t>
      </w:r>
      <w:r w:rsidRPr="00347DC3">
        <w:rPr>
          <w:b/>
          <w:lang w:val="en-US"/>
        </w:rPr>
        <w:t xml:space="preserve"> </w:t>
      </w:r>
      <w:r w:rsidRPr="00347DC3">
        <w:rPr>
          <w:lang w:val="en-US"/>
        </w:rPr>
        <w:t>to:</w:t>
      </w:r>
    </w:p>
    <w:p w14:paraId="6FF67E11" w14:textId="77777777"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14:paraId="5E4F4424" w14:textId="77777777"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F9AF041" w14:textId="45D7BF95" w:rsidR="00112169" w:rsidRPr="00112169" w:rsidRDefault="00112169" w:rsidP="00112169">
      <w:pPr>
        <w:rPr>
          <w:lang w:val="en-US"/>
        </w:rPr>
      </w:pPr>
      <w:r w:rsidRPr="00112169">
        <w:rPr>
          <w:lang w:val="en-US"/>
        </w:rPr>
        <w:t>The Royal Canadian Mounted Police (RCMP) coordinated a fuel storage tanks system compliance assessment with an engineer consultant. The following reported code deficiencies and best practices are to be corrected:</w:t>
      </w:r>
    </w:p>
    <w:p w14:paraId="51F22F09" w14:textId="00DD88E1" w:rsidR="00112169" w:rsidRPr="00112169" w:rsidRDefault="00112169" w:rsidP="00112169">
      <w:pPr>
        <w:rPr>
          <w:lang w:val="en-US"/>
        </w:rPr>
      </w:pPr>
      <w:r w:rsidRPr="00112169">
        <w:rPr>
          <w:lang w:val="en-US"/>
        </w:rPr>
        <w:t>All fuel storage tanks noted below are located at the RCMP Technical Protective Operations Facility in Orleans, Ontario.</w:t>
      </w:r>
    </w:p>
    <w:p w14:paraId="3EF8F99B" w14:textId="2BF90603" w:rsidR="00112169" w:rsidRPr="00112169" w:rsidRDefault="00112169" w:rsidP="00112169">
      <w:pPr>
        <w:rPr>
          <w:lang w:val="en-US"/>
        </w:rPr>
      </w:pPr>
      <w:r w:rsidRPr="00112169">
        <w:rPr>
          <w:lang w:val="en-US"/>
        </w:rPr>
        <w:t>Tank 15 (492L):   Install new filter assembly; provide new vent pipe; replace the joints between the flexible hose and the tank; The supply and return hoses must be replaced; Install rigid piping at tank ports and transition; Extend the fill height to be a minimum of 1m above grade; The fusible-link fire valve is not ULC-certified; Provide an updated set of design drawings and specificati</w:t>
      </w:r>
      <w:r>
        <w:rPr>
          <w:lang w:val="en-US"/>
        </w:rPr>
        <w:t>o</w:t>
      </w:r>
      <w:r w:rsidRPr="00112169">
        <w:rPr>
          <w:lang w:val="en-US"/>
        </w:rPr>
        <w:t>ns on site that bear the stamp and signature of a professional engineer.</w:t>
      </w:r>
    </w:p>
    <w:p w14:paraId="5734ADFB" w14:textId="0B686188" w:rsidR="00112169" w:rsidRPr="00112169" w:rsidRDefault="00112169" w:rsidP="00112169">
      <w:pPr>
        <w:rPr>
          <w:lang w:val="en-US"/>
        </w:rPr>
      </w:pPr>
      <w:r w:rsidRPr="00112169">
        <w:rPr>
          <w:lang w:val="en-US"/>
        </w:rPr>
        <w:t>Tank 16 (2,273L): Install new filter assembly; Provide new normal vent pipe; Replace the joints with new; Ensure the second vent doesn't hinder the vent whistle; Provide new ULC listed shut off ball valve; Replace the supply and return hoses; The second emergency vent must be a minimum of 150mm above the fill connection; Provide an updated set of design drawings and specifications on site that bear the stamp and signature of a professional engineer.</w:t>
      </w:r>
    </w:p>
    <w:p w14:paraId="69F0BE8A" w14:textId="3E7259FA" w:rsidR="00112169" w:rsidRPr="00112169" w:rsidRDefault="00112169" w:rsidP="00112169">
      <w:pPr>
        <w:rPr>
          <w:lang w:val="en-US"/>
        </w:rPr>
      </w:pPr>
      <w:r w:rsidRPr="00112169">
        <w:rPr>
          <w:lang w:val="en-US"/>
        </w:rPr>
        <w:t>Tank 11 (3,995 L): Install new shut off device and new audible/visual overfill alarm; Install a camlock fitting; The supply and return hoses must be replaced; Replace the joints with new ones; Replace the fusible-link fire valve; Provide an updated set of design drawings and specifications on site that bear the stamp and signature of a professional engineer.</w:t>
      </w:r>
    </w:p>
    <w:p w14:paraId="1E2B0A52" w14:textId="43F28ECE" w:rsidR="00112169" w:rsidRPr="00112169" w:rsidRDefault="00112169" w:rsidP="00112169">
      <w:pPr>
        <w:rPr>
          <w:lang w:val="en-US"/>
        </w:rPr>
      </w:pPr>
      <w:r w:rsidRPr="00112169">
        <w:rPr>
          <w:lang w:val="en-US"/>
        </w:rPr>
        <w:t xml:space="preserve">Tanks 12 (Main Tank 25,411 L), 13 (Day Tank 1,100 L) and 14 (Genset 1,139L): Relocate the day tank; Install a manual shut-off valve on the fuel supply line; Confirm the size of the fuel piping inside the building; Replace the supply and return hoses; Replace the overfill alarm </w:t>
      </w:r>
      <w:r w:rsidRPr="00112169">
        <w:rPr>
          <w:lang w:val="en-US"/>
        </w:rPr>
        <w:lastRenderedPageBreak/>
        <w:t>system; Install a fusible-link shut off valve; Provide an updated set of design drawings and specifications on site that bear the stamp and signature of a professional engineer.</w:t>
      </w:r>
    </w:p>
    <w:p w14:paraId="750D20AD" w14:textId="7437A029" w:rsidR="0003011E" w:rsidRPr="00112169" w:rsidRDefault="00112169" w:rsidP="00112169">
      <w:r w:rsidRPr="00112169">
        <w:rPr>
          <w:lang w:val="en-US"/>
        </w:rPr>
        <w:t>Tank 34 (1,070 L): Install a filter on the fuel supply line to the generator; Replace the joints between the flexible hose and the tank; Replace the supply and return hoses to the generator; Install a liquid level gauge.</w:t>
      </w:r>
    </w:p>
    <w:sectPr w:rsidR="0003011E" w:rsidRPr="00112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58"/>
    <w:rsid w:val="00112169"/>
    <w:rsid w:val="00161D58"/>
    <w:rsid w:val="00371E43"/>
    <w:rsid w:val="00553937"/>
    <w:rsid w:val="005D7503"/>
    <w:rsid w:val="007429ED"/>
    <w:rsid w:val="00A01955"/>
    <w:rsid w:val="00B44EEA"/>
    <w:rsid w:val="00B5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0F0F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2021-08-24T18:33:00Z</dcterms:created>
  <dcterms:modified xsi:type="dcterms:W3CDTF">2021-08-24T18:33:00Z</dcterms:modified>
</cp:coreProperties>
</file>