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29B" w:rsidRPr="002A7E9E" w:rsidRDefault="0053138E" w:rsidP="002A7E9E">
      <w:pPr>
        <w:pStyle w:val="Heading1"/>
      </w:pPr>
      <w:r w:rsidRPr="002A7E9E">
        <w:t>Centralized Laydown Area</w:t>
      </w:r>
    </w:p>
    <w:p w:rsidR="002A7E9E" w:rsidRDefault="002A7E9E">
      <w:pPr>
        <w:rPr>
          <w:b/>
          <w:sz w:val="24"/>
        </w:rPr>
      </w:pPr>
    </w:p>
    <w:p w:rsidR="0053138E" w:rsidRPr="002A7E9E" w:rsidRDefault="0053138E">
      <w:pPr>
        <w:rPr>
          <w:b/>
          <w:sz w:val="24"/>
        </w:rPr>
      </w:pPr>
      <w:r w:rsidRPr="002A7E9E">
        <w:rPr>
          <w:b/>
          <w:sz w:val="24"/>
        </w:rPr>
        <w:t>Notice of Determination</w:t>
      </w:r>
    </w:p>
    <w:p w:rsidR="002A7E9E" w:rsidRPr="002A7E9E" w:rsidRDefault="002A7E9E" w:rsidP="002A7E9E">
      <w:pPr>
        <w:rPr>
          <w:color w:val="002060"/>
        </w:rPr>
      </w:pPr>
      <w:r w:rsidRPr="002A7E9E">
        <w:rPr>
          <w:color w:val="002060"/>
        </w:rPr>
        <w:t xml:space="preserve">Atomic Energy of Canada Limited (AECL) has determined that the proposed Centralized Laydown Area at AECL’s Chalk River site is not likely to cause significant adverse environmental effects. </w:t>
      </w:r>
    </w:p>
    <w:p w:rsidR="002A7E9E" w:rsidRPr="002A7E9E" w:rsidRDefault="002A7E9E" w:rsidP="002A7E9E">
      <w:pPr>
        <w:rPr>
          <w:color w:val="002060"/>
        </w:rPr>
      </w:pPr>
      <w:r w:rsidRPr="002A7E9E">
        <w:rPr>
          <w:color w:val="002060"/>
        </w:rPr>
        <w:t>Potential environmental effects will be managed through technically and economically feasible mitigation measures and implemented for the following: air, water, soil and material storage. The project area is on land that has been previously disturbed resulting in no clearing of vegetation and only minor earthworks to support the installation of gravel, the concrete pad and drainage to appropriately direct precipitation through or around the area. As the federal authority, Atomic Energy of Canada gives permissions to Canadian Nuclear Laboratories to carry out the project, exercise any power, perform any duty or function, or provide financial assistance to enable the project to be carried out in whole or in part.</w:t>
      </w:r>
      <w:bookmarkStart w:id="0" w:name="_GoBack"/>
      <w:bookmarkEnd w:id="0"/>
    </w:p>
    <w:p w:rsidR="002A7E9E" w:rsidRDefault="002A7E9E" w:rsidP="002A7E9E">
      <w:pPr>
        <w:rPr>
          <w:i/>
          <w:color w:val="002060"/>
        </w:rPr>
      </w:pPr>
    </w:p>
    <w:p w:rsidR="00F94866" w:rsidRPr="002A7E9E" w:rsidRDefault="00F94866" w:rsidP="00F94866">
      <w:pPr>
        <w:rPr>
          <w:i/>
          <w:color w:val="002060"/>
        </w:rPr>
      </w:pPr>
    </w:p>
    <w:p w:rsidR="00F94866" w:rsidRDefault="00F94866" w:rsidP="00F94866">
      <w:pPr>
        <w:rPr>
          <w:i/>
          <w:color w:val="2E74B5" w:themeColor="accent1" w:themeShade="BF"/>
        </w:rPr>
      </w:pPr>
      <w:r>
        <w:rPr>
          <w:i/>
          <w:color w:val="2E74B5" w:themeColor="accent1" w:themeShade="BF"/>
        </w:rPr>
        <w:t xml:space="preserve"> </w:t>
      </w:r>
    </w:p>
    <w:p w:rsidR="00F94866" w:rsidRDefault="00F94866"/>
    <w:sectPr w:rsidR="00F948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38E"/>
    <w:rsid w:val="002A7E9E"/>
    <w:rsid w:val="0053138E"/>
    <w:rsid w:val="00706178"/>
    <w:rsid w:val="00C0129B"/>
    <w:rsid w:val="00F948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D0CB6-71D1-472E-8795-B2E5731FC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A7E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A7E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7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E9E"/>
    <w:rPr>
      <w:rFonts w:ascii="Segoe UI" w:hAnsi="Segoe UI" w:cs="Segoe UI"/>
      <w:sz w:val="18"/>
      <w:szCs w:val="18"/>
    </w:rPr>
  </w:style>
  <w:style w:type="character" w:customStyle="1" w:styleId="Heading2Char">
    <w:name w:val="Heading 2 Char"/>
    <w:basedOn w:val="DefaultParagraphFont"/>
    <w:link w:val="Heading2"/>
    <w:uiPriority w:val="9"/>
    <w:rsid w:val="002A7E9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2A7E9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 Connor</dc:creator>
  <cp:keywords/>
  <dc:description/>
  <cp:lastModifiedBy>Titterington, Susan</cp:lastModifiedBy>
  <cp:revision>2</cp:revision>
  <dcterms:created xsi:type="dcterms:W3CDTF">2023-04-11T16:10:00Z</dcterms:created>
  <dcterms:modified xsi:type="dcterms:W3CDTF">2023-04-11T16:10:00Z</dcterms:modified>
</cp:coreProperties>
</file>